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1"/>
        <w:tblOverlap w:val="never"/>
        <w:tblW w:w="0" w:type="auto"/>
        <w:tblLook w:val="00A0"/>
      </w:tblPr>
      <w:tblGrid>
        <w:gridCol w:w="1526"/>
        <w:gridCol w:w="8246"/>
      </w:tblGrid>
      <w:tr w:rsidR="008524B2" w:rsidRPr="00733C91" w:rsidTr="00733C91">
        <w:tc>
          <w:tcPr>
            <w:tcW w:w="9772" w:type="dxa"/>
            <w:gridSpan w:val="2"/>
            <w:tcBorders>
              <w:bottom w:val="single" w:sz="4" w:space="0" w:color="auto"/>
            </w:tcBorders>
          </w:tcPr>
          <w:p w:rsidR="008524B2" w:rsidRPr="00733C91" w:rsidRDefault="008524B2" w:rsidP="00733C91">
            <w:pPr>
              <w:jc w:val="both"/>
              <w:rPr>
                <w:rFonts w:eastAsia="MS MinNew Roman"/>
              </w:rPr>
            </w:pPr>
            <w:r w:rsidRPr="00733C91">
              <w:rPr>
                <w:rFonts w:ascii="Century Gothic" w:eastAsia="MS MinNew Roman" w:hAnsi="Century Gothic"/>
                <w:b/>
                <w:sz w:val="36"/>
                <w:szCs w:val="36"/>
              </w:rPr>
              <w:t>Davide Trevisan</w:t>
            </w:r>
          </w:p>
        </w:tc>
      </w:tr>
      <w:tr w:rsidR="008524B2" w:rsidRPr="00733C91" w:rsidTr="00733C91">
        <w:tc>
          <w:tcPr>
            <w:tcW w:w="97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24B2" w:rsidRPr="00733C91" w:rsidRDefault="008524B2" w:rsidP="00733C91">
            <w:pPr>
              <w:jc w:val="right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</w:tr>
      <w:tr w:rsidR="008524B2" w:rsidRPr="00733C91" w:rsidTr="00733C91">
        <w:tc>
          <w:tcPr>
            <w:tcW w:w="1526" w:type="dxa"/>
            <w:tcBorders>
              <w:top w:val="single" w:sz="4" w:space="0" w:color="auto"/>
            </w:tcBorders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Formazione</w:t>
            </w:r>
          </w:p>
        </w:tc>
        <w:tc>
          <w:tcPr>
            <w:tcW w:w="8246" w:type="dxa"/>
            <w:tcBorders>
              <w:top w:val="single" w:sz="4" w:space="0" w:color="auto"/>
            </w:tcBorders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Laurea Specialistica in Medicina e Chirurgia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Università degli Studi di Modena e Reggio Emilia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Votazione 108/110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24 Ottobre 2007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Iscrizione all’Ordine dei Medici Chirurghi di Modena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18 Febbraio 2008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Specializzazione in Anestesia, Rianimazione e Terapia Antalgica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Università degli Studi di Modena e Reggio Emilia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Votazione 110/110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16 Marzo 2012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Attività Formative</w:t>
            </w: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Corso di Simulazione Emergenze Medico-Chirurgiche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Centro Simu-Learn, Bologna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25 Giugno e 14 Settembre 2007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Corso di Monitoraggio Emodinamico Perioperatorio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B.Allaria – Università di Milano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3, 10, 17, 24, 31 Marzo 2009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10th Summer School on Intensive Care Medicine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Brijuni, Croazia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23-27 Giugno 2009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Corso di Ecocardiografia in Area Critica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Hesperia Hospital, Modena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22-26 Febbraio 2010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Macrosimulazione sulla Gestione del Sanguinamento Critico mediante l’uso della TEG e di Emoderivati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SMART, Milano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27 Maggio 2010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L’insufficienza respiratoria nel bambino: dalla DECAP all’ECMO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AOU Meyer, Firenze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27 e 28 Ottobre 2010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Il supporto inotropico nel paziente con shock settico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Policlinico di Modena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11 Marzo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Ruolo dell’ecografia nel paziente critico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Reggio Emilia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12 Aprile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Fibrinogen and Prothrombin Complex Concentrate for the Management of Massive Bleeding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Corso on-line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 Agosto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Imperial College, Londra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Cs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Cs/>
                <w:sz w:val="20"/>
                <w:szCs w:val="20"/>
              </w:rPr>
              <w:t>Observership presso gli ospedali Charing Cross Hospital e St.Mary’s Hospital di Londra con partecipazione all’attività clinica in ICU e di sala operatoria. Partecipazione all’attività di training come uditore.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Cs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Cs/>
                <w:sz w:val="20"/>
                <w:szCs w:val="20"/>
              </w:rPr>
              <w:t>Presentazione di audit sul monitoraggio emodinamico.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Cs/>
                <w:sz w:val="20"/>
                <w:szCs w:val="20"/>
              </w:rPr>
              <w:t>Ottobre e Dicembre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Pelvic Trauma – Operating theatre or angio suite?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St.Mary’s Hospital, Londra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9 Novembre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The lung in intensive care in moments of change. A time to reflect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Chelsea and Westminster Hospital, Londra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23 Novembre 2011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Corso Emostasi e Coagulazione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IRCSS S.Donato Milanese – Dott. Marco Ranucci, Dott. Dionisio Collella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5-6 Luglio 2012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11th Echo meeting of the European Association of Cardiothoracic Anaesthesiologists – Basic Course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Università di Basilea (CH)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8-9 Settembre 2012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14° Congresso CARACT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Lido di Camaiore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15-17 Novembre 2012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Corso LEVOSIMENDAN IN TERAPIA INTENSIVA: DOVE, COME E QUANDO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Milano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11 Giugno 2013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12th Echo meeting of the European Association of Cardiothoracic Anaesthesiologists – Advanced and Accreditation Course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Università di Montpellier (FR)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7-10 Settembre 2013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New perpective in ECMO 2013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Milano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25 Ottobre 2013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Pubblicazioni Internazionali</w:t>
            </w: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L.Rinaldi, E.Ferrari, D.Trevisan, L.Donno, 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>Ineffectiveness Of Sepsis Resuscitation Bundle Application In Cirrhotic Patients With Septic Shock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. Critical Care 2010;14 (suppl.1).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E.Biagioni, I.Cavazzuti, S.Busani, D.Trevisan, L.Zavatti, E.Ferrari,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Acute renal failure and renal replacement therapy in the postoperative period of orthotopic liver transplant patients versus nonelective abdominal surgery patients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Transplant Procedures 2011;43(4):1145-7.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E.Ferrari, G.Serafini, D.Trevisan, L.Donno, L.Rinaldi,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Long-term effects of an in-hospital programme on sepsis management in the ICU.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Critical Care 2011, 15(suppl 1).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E.Biagioni, G.Bertazzoni, S.Braccini, E.Boni, D.Trevisan, C.Venturelli,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Early serum endotoxins level and organ failure in septic patients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Intensive Care Medicine 2011;37(suppl 1):S22.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D.Trevisan, L.Zavatti, A.Andreotti, S.Giovannini, S.Busani,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The clinical significance of cardiac output measurement in patients with persistent shock: preliminary results of a randomized trial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Intensive Care Medicine 2011;37(suppl 1):S280.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D.Trevisan, M.Girardis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Il controllo della glicemia nel paziente postchirurgico e non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Minerva Anestesiologica 2010;76(suppl.1):409-12.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Rinaldi L, Ferrari E, Marietta M, Donno L, Trevisan D, Codeluppi M, Busani S, Girardis M.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 xml:space="preserve">Effectiveness of sepsis bundle application in cirrhotic patients with septic shock: a single-center experience.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J Crit Care. 2012 Aug 8. [Epub ahead of print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>]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Trevisan D, Busani S, Martani L, Meli M, Girardis M.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</w:rPr>
              <w:t>Gli inotropi nella sepsi: quali scelte?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 Minerva Anestesiologica 2012:78(suppl.1).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  <w:lang w:val="en-GB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 xml:space="preserve">Trevisan D, Longo M, Davolio E, Meli M. </w:t>
            </w:r>
            <w:r w:rsidRPr="00733C91">
              <w:rPr>
                <w:rFonts w:ascii="Calibri" w:eastAsia="MS MinNew Roman" w:hAnsi="Calibri"/>
                <w:b/>
                <w:sz w:val="28"/>
                <w:szCs w:val="28"/>
                <w:lang w:val="en-GB"/>
              </w:rPr>
              <w:t xml:space="preserve">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  <w:lang w:val="en-GB"/>
              </w:rPr>
              <w:t>Single centre experience of out-of-centre management of ECMO support for respiratory failure: feasibility of a spoke-and-hub system organisation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  <w:lang w:val="en-GB"/>
              </w:rPr>
              <w:t>. New perspective in ECMO 2013. Milano 25 Ottobre 2013.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  <w:lang w:val="en-GB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  <w:lang w:val="en-GB"/>
              </w:rPr>
              <w:t xml:space="preserve">G Stefanelli, F Pirro, D Trevisan, L Steffanon, P Orlandi, M Pedulli, M Meli. </w:t>
            </w:r>
            <w:r w:rsidRPr="00733C91">
              <w:rPr>
                <w:rFonts w:ascii="Century Gothic" w:eastAsia="MS MinNew Roman" w:hAnsi="Century Gothic"/>
                <w:i/>
                <w:sz w:val="20"/>
                <w:szCs w:val="20"/>
                <w:lang w:val="en-GB"/>
              </w:rPr>
              <w:t xml:space="preserve">Stentless </w:t>
            </w:r>
            <w:smartTag w:uri="urn:schemas-microsoft-com:office:smarttags" w:element="metricconverter">
              <w:smartTagPr>
                <w:attr w:name="ProductID" w:val="3F"/>
              </w:smartTagPr>
              <w:r w:rsidRPr="00733C91">
                <w:rPr>
                  <w:rFonts w:ascii="Century Gothic" w:eastAsia="MS MinNew Roman" w:hAnsi="Century Gothic"/>
                  <w:i/>
                  <w:sz w:val="20"/>
                  <w:szCs w:val="20"/>
                  <w:lang w:val="en-GB"/>
                </w:rPr>
                <w:t>3F</w:t>
              </w:r>
            </w:smartTag>
            <w:r w:rsidRPr="00733C91">
              <w:rPr>
                <w:rFonts w:ascii="Century Gothic" w:eastAsia="MS MinNew Roman" w:hAnsi="Century Gothic"/>
                <w:i/>
                <w:sz w:val="20"/>
                <w:szCs w:val="20"/>
                <w:lang w:val="en-GB"/>
              </w:rPr>
              <w:t xml:space="preserve"> Composite Bioroot for Bentall Operation. </w:t>
            </w:r>
            <w:r w:rsidRPr="00733C91">
              <w:rPr>
                <w:rFonts w:ascii="Century Gothic" w:eastAsia="MS MinNew Roman" w:hAnsi="Century Gothic"/>
                <w:sz w:val="20"/>
                <w:szCs w:val="20"/>
                <w:lang w:val="en-GB"/>
              </w:rPr>
              <w:t xml:space="preserve">AATS Aortic Symposium 2014 – 24-25 April 2014, </w:t>
            </w:r>
            <w:smartTag w:uri="urn:schemas-microsoft-com:office:smarttags" w:element="place">
              <w:smartTag w:uri="urn:schemas-microsoft-com:office:smarttags" w:element="State">
                <w:r w:rsidRPr="00733C91">
                  <w:rPr>
                    <w:rFonts w:ascii="Century Gothic" w:eastAsia="MS MinNew Roman" w:hAnsi="Century Gothic"/>
                    <w:sz w:val="20"/>
                    <w:szCs w:val="20"/>
                    <w:lang w:val="en-GB"/>
                  </w:rPr>
                  <w:t>New York</w:t>
                </w:r>
              </w:smartTag>
            </w:smartTag>
            <w:r w:rsidRPr="00733C91">
              <w:rPr>
                <w:rFonts w:ascii="Century Gothic" w:eastAsia="MS MinNew Roman" w:hAnsi="Century Gothic"/>
                <w:sz w:val="20"/>
                <w:szCs w:val="20"/>
                <w:lang w:val="en-GB"/>
              </w:rPr>
              <w:t>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Dal 2012 partecipa al gruppo di ricerca cardio-toraco-vascolare SIAARTI-ITACTA.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Correlatore per tesi di specializzazione in anestesia e rianimazione dal titolo: “Sanguinamento in cardiochirurgia pediatrica e utilizzo dei point of care test”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Esperienza Professionale</w:t>
            </w: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2008 – 2012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Corso di Specializzazione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Acquisizione di completa autonomia nelle tecniche anestesiologiche e nella gestione perioperatoria del paziente nelle specialità di Chirurgia Generale, Ortopedia, Urologia, Ginecologia, Ostetricia, Chirurgia Otorinolaringoiatrica, Chirurgia Plastica e Maxillo-Facciale, Chirurgia Vascolare, Chirurgia Toracica.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Acquisizione di autonomia con supervisione nelle tecniche anestesiologiche e nella gestione perioperatoria nelle specialità di Neurochirurgia, Chirurgia dei Trapianti di Fegato.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Esperienza nella gestione intensiva postoperatoria del paziente complesso.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Esperienza nella gestione intensiva del paziente con shock settico.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Autonomia nella gestione e nella esecuzione delle manovre invasive anestesiologiche, in particolare: posizionamento cateteri venosi centrali, polmonari, epidurali lombari e toracici, con e senza ecoguida.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Essperienza nella gestione delle tecniche di partoanalgesia con catetere peridurale.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Aprile 2012 – oggi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Hesperia Hospital Modena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Anestesia per la cardiochirurgia, chirurgia vascolare, sala di emodinamica, ortopedia, urologia, chirurgia generale e NORA.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Rianimazione (postoperatoria cardiochirurgica e mista, medica) ed attività collegate (journal club, corsi interni, stesura protocolli).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Stesura protocollo di nutrizione e monitoraggio stato nutrizionale per il reparto di Terapia Intensiva postoperatoria e Rianimazione dell’Hesperia Hospital di Modena.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Stesura protocollo di trasfusione e gestione emorragia critica basato su tecniche aggregometriche e tromboelastometriche point-of-care.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Stesura protocollo operativo di indicazione e gestione ECMO per supporto cardiaco e respiratorio,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Esperienza come primo operatore in tecniche di tracheotomia percutanea con tecnica Fantoni modificata, Ciaglia modificata e Griggs.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Esperienza nel posizionamento e gestione di sistemi ECMO veno-venosi e veno-arteriosi.</w:t>
            </w:r>
            <w:bookmarkStart w:id="0" w:name="_GoBack"/>
            <w:bookmarkEnd w:id="0"/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Gennaio 2013, Maggio 2013, Giugno 2014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Missione umanitaria presso Shisong Cardiac Center (Camerun) con impiego da anestesista per la cardiochirugia e medico della terapia intensiva. Formazione e creazione di protocolli con il personale in loco.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Conoscenze Linguistiche</w:t>
            </w: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Italiano – madrelingua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Inglese – advanced (C1)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Francese – pre-intermediate (A2)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Tedesco – beginner (A1)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b/>
                <w:sz w:val="20"/>
                <w:szCs w:val="20"/>
              </w:rPr>
              <w:t>Conoscenze Informatiche</w:t>
            </w: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Utilizzo dei principali programmi Microsoft Office con conoscenza avanzata di Word, Excel e Power Point.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Conoscenza approfondita dei sistemi operativi Mac e Windows.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Conoscenza e utilizzo dei principali browser per la navigazione internet.</w:t>
            </w:r>
          </w:p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  <w:r w:rsidRPr="00733C91">
              <w:rPr>
                <w:rFonts w:ascii="Century Gothic" w:eastAsia="MS MinNew Roman" w:hAnsi="Century Gothic"/>
                <w:sz w:val="20"/>
                <w:szCs w:val="20"/>
              </w:rPr>
              <w:t>Utilizzo dei programmi di analisi statistica Prism, StatPlus, SPSS 17.0.</w:t>
            </w:r>
          </w:p>
        </w:tc>
      </w:tr>
      <w:tr w:rsidR="008524B2" w:rsidRPr="00733C91" w:rsidTr="00733C91">
        <w:tc>
          <w:tcPr>
            <w:tcW w:w="1526" w:type="dxa"/>
          </w:tcPr>
          <w:p w:rsidR="008524B2" w:rsidRPr="00733C91" w:rsidRDefault="008524B2" w:rsidP="00733C91">
            <w:pPr>
              <w:jc w:val="both"/>
              <w:rPr>
                <w:rFonts w:ascii="Century Gothic" w:eastAsia="MS MinNew Roman" w:hAnsi="Century Gothic"/>
                <w:b/>
                <w:sz w:val="20"/>
                <w:szCs w:val="20"/>
              </w:rPr>
            </w:pPr>
          </w:p>
        </w:tc>
        <w:tc>
          <w:tcPr>
            <w:tcW w:w="8246" w:type="dxa"/>
          </w:tcPr>
          <w:p w:rsidR="008524B2" w:rsidRPr="00733C91" w:rsidRDefault="008524B2" w:rsidP="00733C91">
            <w:pPr>
              <w:spacing w:before="120" w:after="120"/>
              <w:jc w:val="both"/>
              <w:rPr>
                <w:rFonts w:ascii="Century Gothic" w:eastAsia="MS MinNew Roman" w:hAnsi="Century Gothic"/>
                <w:sz w:val="20"/>
                <w:szCs w:val="20"/>
              </w:rPr>
            </w:pPr>
          </w:p>
        </w:tc>
      </w:tr>
    </w:tbl>
    <w:p w:rsidR="008524B2" w:rsidRPr="00204150" w:rsidRDefault="008524B2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textWrapping" w:clear="all"/>
      </w:r>
    </w:p>
    <w:sectPr w:rsidR="008524B2" w:rsidRPr="00204150" w:rsidSect="002E1ABA">
      <w:pgSz w:w="11900" w:h="16840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">
    <w:altName w:val="~??eg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56"/>
  <w:defaultTabStop w:val="708"/>
  <w:hyphenationZone w:val="283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150"/>
    <w:rsid w:val="000C3CAA"/>
    <w:rsid w:val="001165F1"/>
    <w:rsid w:val="00140A02"/>
    <w:rsid w:val="00204150"/>
    <w:rsid w:val="00243BAC"/>
    <w:rsid w:val="00267369"/>
    <w:rsid w:val="00272047"/>
    <w:rsid w:val="002E1ABA"/>
    <w:rsid w:val="00350E07"/>
    <w:rsid w:val="003A00F9"/>
    <w:rsid w:val="005F576D"/>
    <w:rsid w:val="00614D78"/>
    <w:rsid w:val="00683A0E"/>
    <w:rsid w:val="00733C91"/>
    <w:rsid w:val="00840BB6"/>
    <w:rsid w:val="008524B2"/>
    <w:rsid w:val="008B151B"/>
    <w:rsid w:val="008B55F9"/>
    <w:rsid w:val="008D1A22"/>
    <w:rsid w:val="008E52F0"/>
    <w:rsid w:val="008E6753"/>
    <w:rsid w:val="00922962"/>
    <w:rsid w:val="00963A59"/>
    <w:rsid w:val="009A794C"/>
    <w:rsid w:val="00A23DCD"/>
    <w:rsid w:val="00A8677F"/>
    <w:rsid w:val="00A91E96"/>
    <w:rsid w:val="00B21779"/>
    <w:rsid w:val="00B50581"/>
    <w:rsid w:val="00BD6000"/>
    <w:rsid w:val="00BE3A5F"/>
    <w:rsid w:val="00C459A5"/>
    <w:rsid w:val="00C7686D"/>
    <w:rsid w:val="00C850F1"/>
    <w:rsid w:val="00D01673"/>
    <w:rsid w:val="00DD0825"/>
    <w:rsid w:val="00DE68E1"/>
    <w:rsid w:val="00E1466E"/>
    <w:rsid w:val="00E344C5"/>
    <w:rsid w:val="00E77EB1"/>
    <w:rsid w:val="00E86E65"/>
    <w:rsid w:val="00F36F7F"/>
    <w:rsid w:val="00FE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7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4150"/>
    <w:pPr>
      <w:keepNext/>
      <w:keepLines/>
      <w:spacing w:before="200"/>
      <w:outlineLvl w:val="1"/>
    </w:pPr>
    <w:rPr>
      <w:rFonts w:ascii="Calibri" w:eastAsia="MS Gothi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04150"/>
    <w:rPr>
      <w:rFonts w:ascii="Calibri" w:eastAsia="MS Gothi" w:hAnsi="Calibri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204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actInformation">
    <w:name w:val="Contact Information"/>
    <w:basedOn w:val="Heading2"/>
    <w:uiPriority w:val="99"/>
    <w:rsid w:val="00204150"/>
    <w:pPr>
      <w:spacing w:before="40" w:after="40" w:line="288" w:lineRule="auto"/>
    </w:pPr>
    <w:rPr>
      <w:rFonts w:ascii="Cambria" w:hAnsi="Cambria"/>
      <w:b w:val="0"/>
      <w:bCs w:val="0"/>
      <w:color w:val="auto"/>
      <w:kern w:val="32"/>
      <w:sz w:val="16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1109</Words>
  <Characters>6325</Characters>
  <Application>Microsoft Office Outlook</Application>
  <DocSecurity>0</DocSecurity>
  <Lines>0</Lines>
  <Paragraphs>0</Paragraphs>
  <ScaleCrop>false</ScaleCrop>
  <Company>Policlinico di Modena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Davide Trevisan</dc:title>
  <dc:subject/>
  <dc:creator>Davide Trevisan</dc:creator>
  <cp:keywords/>
  <dc:description/>
  <cp:lastModifiedBy>Azienda Ospdaliero-Univesitaria Policlinico</cp:lastModifiedBy>
  <cp:revision>3</cp:revision>
  <cp:lastPrinted>2012-03-29T13:47:00Z</cp:lastPrinted>
  <dcterms:created xsi:type="dcterms:W3CDTF">2016-04-18T09:33:00Z</dcterms:created>
  <dcterms:modified xsi:type="dcterms:W3CDTF">2016-04-18T09:40:00Z</dcterms:modified>
</cp:coreProperties>
</file>